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aperStructural"/>
      </w:pPr>
      <w:r>
        <w:rPr>
          <w:b w:val="1"/>
          <w:bCs w:val="1"/>
        </w:rPr>
        <w:t xml:space="preserve">СОДЕРЖАНИЕ</w:t>
      </w:r>
    </w:p>
    <w:p>
      <w:pPr>
        <w:tabs>
          <w:tab w:val="right" w:leader="dot" w:pos="9637.79527559055"/>
        </w:tabs>
      </w:pPr>
      <w:r>
        <w:fldChar w:fldCharType="begin"/>
      </w:r>
      <w:r>
        <w:instrText xml:space="preserve">TOC \o 1-2 \h \z \u</w:instrText>
      </w:r>
      <w:r>
        <w:fldChar w:fldCharType="separate"/>
      </w:r>
      <w:hyperlink w:anchor="_Toc0" w:history="1">
        <w:r>
          <w:t>ВВЕДЕНИЕ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1" w:history="1">
        <w:r>
          <w:t>ТЕОРЕТИЧЕСКИЕ ОСНОВЫ И МЕЖДУНАРОДНЫЙ ОПЫТ ВВЕДЕНИЯ ЦИФРОВОЙ ВАЛЮТЫ ЦЕНТРАЛЬНОГО БАНКА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2" w:history="1">
        <w:r>
          <w:t>УСТРОЙСТВО ЦИФРОВОГО РУБЛЯ: ТЕХНИЧЕСКАЯ, ИНСТИТУЦИОНАЛЬНАЯ И ПРАВОВАЯ АРХИТЕКТУРА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3" w:history="1">
        <w:r>
          <w:t>ПОСЛЕДСТВИЯ ДЛЯ ПОВСЕДНЕВНЫХ РАСЧЁТОВ: СЦЕНАРНЫЙ АНАЛИЗ ВЛИЯНИЯ НА ДОМОХОЗЯЙСТВА, БИЗНЕС И НАЛИЧНЫЕ РАСЧЁТЫ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4" w:history="1">
        <w:r>
          <w:t>ЗАКЛЮЧЕНИЕ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5" w:history="1">
        <w:r>
          <w:t>СПИСОК ИСПОЛЬЗОВАННЫХ ИСТОЧНИКОВ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0" w:name="_Toc0"/>
      <w:r>
        <w:t>ВВЕДЕНИЕ</w:t>
      </w:r>
      <w:bookmarkEnd w:id="0"/>
    </w:p>
    <w:p>
      <w:pPr>
        <w:pStyle w:val="paperBody"/>
      </w:pPr>
      <w:r>
        <w:rPr/>
        <w:t xml:space="preserve">Цифровой рубль как форма центральнобанковской цифровой валюты (CBDC) представляет собой важный инструмент преобразования платежной инфраструктуры и денежно-кредитной практики. Его потенциальное влияние охватывает технические, институциональные и правовые аспекты функционирования рынков платежей, а также повседневные расчёты домохозяйств и предприятий. Исследование последствий внедрения цифрового рубля требует всестороннего рассмотрения как международного опыта и теоретических основ CBDC, так и конкретной архитектуры предлагаемого решения и сценариев изменения платежного поведения экономических агентов.</w:t>
      </w:r>
    </w:p>
    <w:p>
      <w:pPr>
        <w:pStyle w:val="paperBody"/>
      </w:pPr>
      <w:r>
        <w:rPr/>
        <w:t xml:space="preserve">Объектом исследования в настоящей работе выступает цифровая форма национальной валюты, эмитируемая центральным банком, в российском контексте — цифровой рубль. Предметом являются устройство этой валюты (технические, институциональные и правовые компоненты) и последствия её внедрения для повседневных расчётов домохозяйств, бизнеса и оборота наличных средств.</w:t>
      </w:r>
    </w:p>
    <w:p>
      <w:pPr>
        <w:pStyle w:val="paperBody"/>
      </w:pPr>
      <w:r>
        <w:rPr/>
        <w:t xml:space="preserve">Цель работы — всесторонне проанализировать устройство цифрового рубля и оценить вероятные последствия его внедрения для повседневных расчётов, выделив ключевые механизмы влияния и практические сценарии изменений. Для достижения цели поставлены следующие задачи, соответствующие числу глав: 1) раскрыть теоретические основы CBDC и обобщить зарубежный опыт; 2) описать техническую, институциональную и правовую архитектуру цифрового рубля, включая модели хранения и передачи; 3) провести сценарный анализ влияния на домохозяйства, предприятия и использование наличных денег, оценив скорость, стоимость и организационные эффекты.</w:t>
      </w:r>
    </w:p>
    <w:p>
      <w:pPr>
        <w:pStyle w:val="paperBody"/>
      </w:pPr>
      <w:r>
        <w:rPr/>
        <w:t xml:space="preserve">В работе применялись методы системного и институционального анализа, сравнительно-правовой подход, сценарный метод и элементарная экономико-формализованная логика при оценке последствий. Структура исследования соответствует поставленным задачам: первая глава посвящена теории и опыту введения CBDC, вторая — устройству цифрового рубля, третья — сценарному анализу воздействия на повседневные расчёты, заключение содержит выводы и рекомендации.</w:t>
      </w:r>
    </w:p>
    <w:p>
      <w:r>
        <w:br w:type="page"/>
      </w:r>
    </w:p>
    <w:p>
      <w:pPr>
        <w:pStyle w:val="Heading1"/>
      </w:pPr>
      <w:bookmarkStart w:id="1" w:name="_Toc1"/>
      <w:r>
        <w:t>ТЕОРЕТИЧЕСКИЕ ОСНОВЫ И МЕЖДУНАРОДНЫЙ ОПЫТ ВВЕДЕНИЯ ЦИФРОВОЙ ВАЛЮТЫ ЦЕНТРАЛЬНОГО БАНКА</w:t>
      </w:r>
      <w:bookmarkEnd w:id="1"/>
    </w:p>
    <w:p>
      <w:pPr>
        <w:pStyle w:val="paperBody"/>
      </w:pPr>
      <w:r>
        <w:rPr/>
        <w:t xml:space="preserve">Центральная банковская цифровая валюта (CBDC) определяется как цифровая форма национальной валюты, эмитируемая центральным банком и имеющая статус законного средства платежа. По функциональному признаку CBDC подразделяются на оптовую (wholesale) и розничную (retail); дополнительная классификация выделяет модели с предварительным ограничением доступа (прескриптивная или «бета») и модели, ориентированные на широкое общественное использование (опережающая) [1]. Ключевые свойства CBDC — это непосредственная связь с обязательствами центрального банка, предсказуемая цена единицы валюты и институциональная гарантия ликвидности; эти признаки отличают CBDC от частных безналичных депозитов, которые являются обязательствами коммерческих банков, и от приватных криптовалют, лишённых статуса законного платёжного средства и централизованной эмиссии. Важное практическое различие с банковскими депозитами заключается в том, что CBDC потенциально обеспечивает прямой доступ хозяйствующих субъектов к средствам центрального банка, что меняет границы между монетарными резервами и окончательными средствами платежа [1], [5].</w:t>
      </w:r>
    </w:p>
    <w:p>
      <w:pPr>
        <w:pStyle w:val="paperBody"/>
      </w:pPr>
      <w:r>
        <w:rPr/>
        <w:t xml:space="preserve">Мотивации центральных банков к рассмотрению и введению CBDC разнообразны и взаимосвязаны. Во-первых, обеспечение платёжной доступности: цифровая валюта может расширить охват платёжных услуг для географически удалённых или необслуживаемых групп населения, снижая транзакционные издержки и зависимость от наличности [11]. Во-вторых, устойчивость платёжной системы: CBDC способны выступать резервным каналом для расчётов в кризисных ситуациях, когда коммерческие системы испытывают стресс, что повышает общую устойчивость инфраструктуры клиринга и расчётов [3]. В-третьих, усиление контроля над денежной массой и инструментов денежно-кредитной политики: прямой доступ к данным о платёжных потоках и возможность оперативного введения целевых мер (например, программируемых выплат) предоставляют центробанкам новые средства для реализации политики [14]. Однако эти преимущества сопровождаются значительными рисками. На уровне банковского сектора существует риск «утечки депонирования» — переводов вкладов из коммерческих банков в CBDC в период неопределённости, что может ограничить кредитную активность и привести к сжатию банковского посредничества; этот эффект особенно актуален при отсутствии промежуточных механизмов взаимодействия между центральным банком и депозитными институтами [5], [3]. Кроме того, внедрение CBDC увеличивает поверхность для киберрисков: централизованные реестры, интерфейсы для массового доступа и интеграция с цифровыми сервисами требуют высокого уровня защиты и резервирования, иначе возможны масштабные сбои или компрометации конфиденциальности [10].</w:t>
      </w:r>
    </w:p>
    <w:p>
      <w:pPr>
        <w:pStyle w:val="paperBody"/>
      </w:pPr>
      <w:r>
        <w:rPr/>
        <w:t xml:space="preserve">Опыт зарубежных и национальных пилотов демонстрирует широкий спектр целей и архитектурных выборов, что подтверждает отсутствие универсальной модели. Так, в ряде стран пилотные проекты нацелены на повышение финансовой инклюзии и снижение транзакционных расходов, в других — на тестирование технологических решений для расчётных и клиринговых функций; эти различия отражают исходные приоритеты регуляторов и структуру национальной банковской системы [1], [13]. Архитектурно проекты колеблются между централизованными и распределёнными моделями. Централизованные архитектуры обычно предполагают, что центральный банк держит регистр и осуществляет основные функции клиринга и расчётов, что обеспечивает высокий контроль, но требует масштабируемой инфраструктуры и сопряжено с концентрацией рисков. Распределённые подходы (включая элементы DLT) распределяют хранение и верификацию между участниками, что может повысить устойчивость к локальным сбоям и предоставить больше гибкости участникам экосистемы; одновременно распределённые решения ставят задачи совместимости, стандартизации и нормативного надзора [1], [5]. Выбор архитектуры влияет на роль коммерческих банков: при прямом доступе населения к CBDC роль банков как посредников снижается, тогда как в моделях с опосредованным доступом (intermediated CBDC) коммерческие банки продолжают осуществлять KYC/AML и интерфейсы обслуживания клиентов, сохраняя бизнес-модели и каналы кредитования [3], [6].</w:t>
      </w:r>
    </w:p>
    <w:p>
      <w:pPr>
        <w:pStyle w:val="paperBody"/>
      </w:pPr>
      <w:r>
        <w:rPr/>
        <w:t xml:space="preserve">Сравнительный обзор пилотов показывает, что страны с высокой банковской инклюзией чаще выбирают промежуточные модели, сохраняя роль коммерческих банков в обслуживании клиентов и применяя CBDC преимущественно для розничных и межбанковских расчётов в специфических секторах, например в расчётах по государственным трансферам или межплатёжным экспериментам. Напротив, государства с выраженными разрывами в доступе к платёжной инфраструктуре нередко рассматривают CBDC как инструмент расширения сервиса и снижения доли наличных. Эти практики подтверждают, что цели проектов сильно детерминируют технические и институциональные решения: архитектура и модель взаимодействия с коммерческим сектором проектируются под конкретные политические и экономические задачи, а не наоборот [8], [11], [13].</w:t>
      </w:r>
    </w:p>
    <w:p>
      <w:pPr>
        <w:pStyle w:val="paperBody"/>
      </w:pPr>
      <w:r>
        <w:rPr/>
        <w:t xml:space="preserve">Практические пилоты также демонстрируют необходимость сочетания технологических и регуляторных мер. Опыт указывает на важность чёткой правовой базы, механизмов защиты данных и процедур по противодействию отмыванию денег и финансированию терроризма; без этих элементов запуск CBDC сопряжён с рисками правовой неопределённости и усиления регуляторной нагрузки на коммерческие структуры [4]. Кроме того, эмпирические наблюдения показывают, что даже в проектах с сильной технической проработкой критическую роль играет доверие пользователей и прозрачность поведения центрального банка в кризисах — при недостатке доверия возможна проекция CBDC как инструмента контроля, что затруднит массовое принятие [5], [10]. Наконец, пилоты подчеркивают, что технологические решения требуют тестирования масштабируемости и устойчивости к пиковым нагрузкам: успешный прототип в контролируемой среде не гарантирует корректной работы при массовом использовании, а значит планирование внедрения должно учитывать поэтапность и меры по резервированию услуг [1], [5].</w:t>
      </w:r>
    </w:p>
    <w:p>
      <w:pPr>
        <w:pStyle w:val="paperBody"/>
      </w:pPr>
      <w:r>
        <w:rPr/>
        <w:t xml:space="preserve">Сопоставление международных практик указывает на несколько устойчивых уроков для регуляторов. Во-первых, предпочтение промежуточных моделей взаимодействия с коммерческими банками снижает риск дестабилизации кредитования и поддерживает существующие платежные экосистемы, но при этом требует согласованных стандартов и механизмов ограничения прямого оттока депозитов. Во-вторых, гибридные архитектуры, комбинирующие элементы централизованного управления и распределённого исполнения транзакций, могут обеспечить компромисс между контролем и устойчивостью; однако они усложняют вопросы аудита и ответственности. В-третьих, приоритет безопасности, приватности и правовой определённости оказывается решающим для принятия CBDC населением и бизнесом — технологические новшества без адекватной нормативной и коммуникационной поддержки рискуют либо остаться нишевыми, либо вызвать непредусмотренные системные эффекты [4], [10], [14]. Эти наблюдения следует учитывать при адаптации международного опыта к национальным особенностям России, где структура банковского сектора, степень цифровизации и нормативная база формируют собственные ограничения и возможности для цифрового рубля [1], [3].</w:t>
      </w:r>
    </w:p>
    <w:p>
      <w:r>
        <w:br w:type="page"/>
      </w:r>
    </w:p>
    <w:p>
      <w:pPr>
        <w:pStyle w:val="Heading1"/>
      </w:pPr>
      <w:bookmarkStart w:id="2" w:name="_Toc2"/>
      <w:r>
        <w:t>УСТРОЙСТВО ЦИФРОВОГО РУБЛЯ: ТЕХНИЧЕСКАЯ, ИНСТИТУЦИОНАЛЬНАЯ И ПРАВОВАЯ АРХИТЕКТУРА</w:t>
      </w:r>
      <w:bookmarkEnd w:id="2"/>
    </w:p>
    <w:p>
      <w:pPr>
        <w:pStyle w:val="paperBody"/>
      </w:pPr>
      <w:r>
        <w:rPr/>
        <w:t xml:space="preserve">Техническая архитектура цифрового рубля выстраивается вокруг двух взаимодополняющих компонентов: модели хранения средств и модели передачи транзакций. Хранение может быть реализовано как счетная модель (балансы на реестре, приближенная к банковским счетам) или как модель токенов (цифровые «единицы» в кошельке пользователя); каждая из них задаёт разные требования к контролю над правами доступа и к масштабируемости сети. Практические проекты и исследования подчёркивают, что токен-ориентированная модель упрощает офлайн-функционирование и передачу между «кошельками», тогда как счётная модель легче интегрируется в существующие системы клирининга и расчётов коммерческих банков [1]. Передача транзакций предполагает наличие публичного или разрешённого распределённого реестра либо централизованной платформы Банка России; выбор между ними влияет на задержки, пропускную способность и возможности развёртывания умных контрактов для условных расчетов. Смарт-контракты расширяют функционал платежей (автоматизация расчётов в торговле, условные выплаты), но одновременно повышают требования к проверке корректности логики и обеспечению безопасности кода — это важный фактор при оценке рисков массового внедрения в ЕСМП-процессах малого и среднего бизнеса [6].</w:t>
      </w:r>
    </w:p>
    <w:p>
      <w:pPr>
        <w:pStyle w:val="paperBody"/>
      </w:pPr>
      <w:r>
        <w:rPr/>
        <w:t xml:space="preserve">Безопасность технической инфраструктуры цифрового рубля должна обеспечиваться на нескольких уровнях: криптографическая защита ключей и сообщений, надёжность хранилищ (аппаратные модули безопасности, HSM), устойчивость к отказам и восстановление целостности реестра. Практики показывают, что централизованная модель облегчает адресное применение обновлений безопасности и реагирование на инциденты, тогда как распределённые архитектуры требуют эксплуатации механизмов консенсуса и более сложных процедур обновления программных агентов. Важным аспектом является управление приватными ключами конечных пользователей: если ключи удерживаются самим пользователем (non-custodial wallets), это повышает приватность, но снижает удобство и увеличивает риск потери доступа; хранение ключей у провайдера повышает удобство, но создает центры концентрации рисков. Вопросы приватности и анонимности следует рассматривать диалектически: полная анонимность облегчает пользование наличными и защищает права личности, но осложняет соблюдение обязательств по противодействию отмыванию денег и финансированию терроризма (AML/CFT); тонкая настройка уровней идентификации и использование криптографических методов приватности (например, нулевые знания) являются предметом текущих исследований и компромиссов между конфиденциальностью и контролем [1], [14].</w:t>
      </w:r>
    </w:p>
    <w:p>
      <w:pPr>
        <w:pStyle w:val="paperBody"/>
      </w:pPr>
      <w:r>
        <w:rPr/>
        <w:t xml:space="preserve">Институциональная схема обращения предполагает ключевую роль Банка России как эмитента и оператора единой системы учёта и расчётов, при этом реализация функций распределения и обслуживания кошельков, а также интерфейсов для конечных пользователей, возлагается на коммерческие банки и платёжных операторов. Такая модель соответствует принципу «двухуровневой» архитектуры: центральный банк поддерживает эмиссию и реестр обязательств, банки и провайдеры обеспечивают фронт-офис, клиентскую идентификацию и пользовательские интерфейсы. Коммерческие банки остаются логичным звеном для проведения KYC/AML-процедур и интеграции цифрового рубля с депозитными продуктами и кредитованием; одновременно платёжные операторы и ИТ-провайдеры поставляют технологические решения для массовых интерфейсов — мобильных кошельков, ПО для торговых точек и шлюзов эквайринга. Такая распределённость обязанностей снижает барьер входа для пользователей и даёт возможности конкуренции в сервисах, но требует строгой координации стандартов обмена и ответственности за инциденты [3], [6].</w:t>
      </w:r>
    </w:p>
    <w:p>
      <w:pPr>
        <w:pStyle w:val="paperBody"/>
      </w:pPr>
      <w:r>
        <w:rPr/>
        <w:t xml:space="preserve">Механизмы распределения цифрового рубля между центральным банком, коммерческими организациями и конечными пользователями могут применяться в разных вариантах: прямой выпуск кошельков Банком России, передача ликвидности через механизмы резервирования у коммерческих банков или комбинированные схемы с предоплатой и гарантиями по остаткам. Практическая логика подсказывает, что модель с участием банков упрощает контроль за денежной массой и сохранение каналов кредитования, тогда как прямое обслуживание населения центральным банком повышает операционные требования и меняет роль депозитов в финансировании экономики [1], [3]. Важным институциональным элементом являются SLA и стандарты взаимодействия (API, процессинг транзакций, отчётность), которые фиксируют распределение рисков и ответственность сторон при ошибках и мошенничестве; их наличие критично для устойчивой работы экосистемы.</w:t>
      </w:r>
    </w:p>
    <w:p>
      <w:pPr>
        <w:pStyle w:val="paperBody"/>
      </w:pPr>
      <w:r>
        <w:rPr/>
        <w:t xml:space="preserve">Правовое обеспечение обращения цифрового рубля включает несколько взаимосвязанных блоков норм: законодательство об обращении платежных средств (правовой статус цифрового рубля как законного платёжного средства), регулирование защиты персональных данных при цифровых транзакциях, и норма противодействия отмыванию денег и финансированию терроризма. Признание цифрового рубля платёжным средством требует ясности в статусе обязательств центрального банка и правил приёма в расчётах, что напрямую влияет на принятие его в коммерческих операциях и на бухгалтерский учёт [15]. Защита данных и требования к хранению персональных и транзакционных метаданных должны сочетать принципы минимизации данных и возможности для регуляторного аудита; отсутствие чётких правил может привести к неопределённости в ответственности провайдеров и рискам массовых судебных споров. Наконец, отдельный нормативный блок — механизмы AML/CFT, включая пороговые лимиты для анонимных операций и процесс раскрытия данных по мотивированным запросам органов — должен быть соразмерен, чтобы не подорвать платёжную доступность для уязвимых групп, но и обеспечивать выполнение международных обязательств [4], [2].</w:t>
      </w:r>
    </w:p>
    <w:p>
      <w:pPr>
        <w:pStyle w:val="paperBody"/>
      </w:pPr>
      <w:r>
        <w:rPr/>
        <w:t xml:space="preserve">Риски правовой неопределённости возникают при разрыве между технологическими возможностями и регуляторными рамками: неясность в вопросах налогового учёта операций в цифровом рубле, порядке возврата ошибочных платежей, распределении ответственности при взломах и приоритете требований кредиторов может замедлить распространение и доверие к инструменту. Подход к смягчению этих рисков — поэтапное внедрение с пилотами, формализация обязательных стандартов безопасности и прозрачных механизмов разрешения споров — подтверждается как рекомендация в аналитической литературе, так и выводами по международным проектам CBDC [1], [4]. Только сочетание технически надёжной реализации, продуманной институциональной схемы и последовательного правового регулирования создаст предпосылки для устойчивого обращения цифрового рубля в повседневных расчётах.</w:t>
      </w:r>
    </w:p>
    <w:p>
      <w:r>
        <w:br w:type="page"/>
      </w:r>
    </w:p>
    <w:p>
      <w:pPr>
        <w:pStyle w:val="Heading1"/>
      </w:pPr>
      <w:bookmarkStart w:id="3" w:name="_Toc3"/>
      <w:r>
        <w:t>ПОСЛЕДСТВИЯ ДЛЯ ПОВСЕДНЕВНЫХ РАСЧЁТОВ: СЦЕНАРНЫЙ АНАЛИЗ ВЛИЯНИЯ НА ДОМОХОЗЯЙСТВА, БИЗНЕС И НАЛИЧНЫЕ РАСЧЁТЫ</w:t>
      </w:r>
      <w:bookmarkEnd w:id="3"/>
    </w:p>
    <w:p>
      <w:pPr>
        <w:pStyle w:val="paperBody"/>
      </w:pPr>
      <w:r>
        <w:rPr/>
        <w:t xml:space="preserve">Внедрение цифрового рубля изменит скорость и стоимость транзакций для домохозяйств прежде всего за счёт сокращения транзакционных звеньев и повышения автоматизации платежей. Технически непосредственная передача CBDC между кошельками может снизить латентность переводов и убрать необходимость в клиринговых окнах, что уменьшает время расчёта и потенциально снижает переменные издержки транзакций для потребителя. Однако эффект распределён по группам: для клиентов банков с современными цифровыми сервисами выигрыш будет маргинальным, тогда как для пользователей традиционных услуг и получателей пособий сокращение задержек будет заметным. Важным ограничителем является тарифная политика и модель распределения комиссий: если коммерческие посредники сохранят право устанавливать сборы за обслуживание кошельков или за интеграцию с эквайрингом, экономия времени не обязательно преобразуется в дешевизну платежей для конечного пользователя [1], [5]. Следовательно, чистые выгоды домохозяйств зависят от регуляторных решений по тарифообразованию и конкурентной среды между провайдерами платежных услуг.</w:t>
      </w:r>
    </w:p>
    <w:p>
      <w:pPr>
        <w:pStyle w:val="paperBody"/>
      </w:pPr>
      <w:r>
        <w:rPr/>
        <w:t xml:space="preserve">Доступность платёжных услуг для уязвимых групп — пожилых, населения в отдалённых районах и людей с низким уровнем цифровой грамотности — определит степень замещения наличных. Цифровой рубль даёт техническую возможность предоставлять "легковесные" офлайн-кошельки и упрощённые интерфейсы, что повышает инклюзией при соответствующих решениях регулятора и операторов. Вместе с тем, переход на цифровой инструмент без параллельной политики обучения и сети физического обслуживания усилит цифровой разрыв: часть населения будет вынуждена сохранять наличные или пользоваться посредниками, что увеличит для них транзакционные издержки и уязвимость к мошенничеству. Опыт пилотных проектов и исследования по доступности платежей подчеркивают необходимость сочетания технологических возможностей с программами поддержки и стандартами интерфейса, иначе выигрыш в скорости не превратится в реальную экономию для всех домохозяйств [1].</w:t>
      </w:r>
    </w:p>
    <w:p>
      <w:pPr>
        <w:pStyle w:val="paperBody"/>
      </w:pPr>
      <w:r>
        <w:rPr/>
        <w:t xml:space="preserve">Для малого и среднего бизнеса (МСБ) цифровой рубль открывает возможности изменения платёжной инфраструктуры и автоматизации расчётов: интеграция с POS-терминалами, смарт-контрактами и учётом в реальном времени может сократить кассовые операции, ускорить оборот средств и упростить расчёт налогов. Автоматизация снизит трудозатраты на бухгалтерию и ускорит оборотный капитал, что особенно важно для малого бизнеса с узкими маржами. Одновременно внедрение потребует модернизации POS-оборудования, перепрограммирования учётных систем и обучения персонала — это создаёт переходные издержки и барьеры для бизнесов с ограниченными ресурсами. Значимость этих барьеров возрастает, если эквайринговые операторы сохранят высокие комиссии или введут плату за новые интерфейсы; наоборот, стимулирующие регуляторные меры и субсидирование перехода могут уменьшить расходы по внедрению и ускорить распространение технологии [6], [15]. В итоге эффект для МСБ будет децентрализован: технологически готовые предприятия получат конкурентное преимущество, другим придётся нести временные издержки.</w:t>
      </w:r>
    </w:p>
    <w:p>
      <w:pPr>
        <w:pStyle w:val="paperBody"/>
      </w:pPr>
      <w:r>
        <w:rPr/>
        <w:t xml:space="preserve">Изменения в операциях "точка-продажа" и в эквайринге будут зависеть от архитектуры взаимодействия цифрового рубля с коммерческими банками и платёжными операторами. Если модель предусматривает прямой доступ продавца к кошелькам покупателей без посредничества эквайера, торговцы могут сократить издержки на комиссии и ускорить расчёты; однако такое перераспределение доходов экосистемы платежей неизбежно вызовет сопротивление существующих игроков и потребует переосмысления бизнес-моделей. Варианты, в которых коммерческие банки остаются сервис-посредниками, сохранят текущую структуру комиссий, но добавят новые сервисы автоматизации и риск-менеджмента. Эти институциональные решения будут определять распределение выгод между МСБ, банками и платёжными организациями и влиять на скорость перехода экономики к массовому использованию CBDC [3], [6].</w:t>
      </w:r>
    </w:p>
    <w:p>
      <w:pPr>
        <w:pStyle w:val="paperBody"/>
      </w:pPr>
      <w:r>
        <w:rPr/>
        <w:t xml:space="preserve">Снижение использования наличных — вероятный, но не однозначный сценарий. В зависимости от стимулов, безопасности и удобства цифрового рубля его доля в платежах может резко сократиться в городских и молодёжных сегментах, тогда как уязвимые и консервативные слои будут сохранять наличность дольше. Быстрое вытеснение наличных усилит прозрачность экономики и упростит мониторинг платежей, что снижает возможности теневой деятельности, но одновременно повышает риск системных шоков при массовом оттоке вкладов из банков в CBDC, если она будет предусматривать "безрисковый" статус и привлечение пользователей высокой ликвидностью [2], [14]. Такое перераспределение денег в сторону цифрового рубля может изменить структуру пассивов банков и их способность кредитовать экономику, если не будут предусмотрены механизмы релейного мультипликатора или лимиты на хранение в CBDC.</w:t>
      </w:r>
    </w:p>
    <w:p>
      <w:pPr>
        <w:pStyle w:val="paperBody"/>
      </w:pPr>
      <w:r>
        <w:rPr/>
        <w:t xml:space="preserve">Для смягчения рисков, связанных с падением роли наличных и возможными угрозами финансовой стабильности, предлагаются несколько инструментальных мер: установление лимитов на остатки в цифровых кошельках, введение дифференцированных ставок (или вознаграждений) для стимулирования использования депозитов, а также предоставление офлайн-функционала для сохранения платежеспособности в условиях потери связи. Эти меры сохраняют часть преимуществ CBDC (скорость, прозрачность) и одновременно ограничивают риски быстрого перераспределения ликвидности и исключения тех, кто не готов к цифровому переходу. Практическая реализация таких механизмов потребует тщательной калибровки, чтобы избежать излишней фрагментации платёжной системы и не снизить стимулы к инновациям в экосистеме платёжных услуг [4], [14].</w:t>
      </w:r>
    </w:p>
    <w:p>
      <w:pPr>
        <w:pStyle w:val="paperBody"/>
      </w:pPr>
      <w:r>
        <w:rPr/>
        <w:t xml:space="preserve">Следовательно, влияние цифрового рубля на повседневные расчёты будет сочетать технические преимущества (скорость, автоматизация) с институциональными и распределительными вызовами. Конечный результат будет зависеть не только от технологической реализации, но и от регулирующих правил по тарифам и лимитам, мер по обеспечению доступности для уязвимых групп и политики поддержки переходных издержек для МСБ. Без согласованной политики по этим направлениям цифровой рубль рискует усилить неравномерность выгод и создать новые фрагменты платёжной инфраструктуры, тогда как при целенаправленном регулировании он может повысить эффективность и инклюзивность расчётов.</w:t>
      </w:r>
    </w:p>
    <w:p>
      <w:r>
        <w:br w:type="page"/>
      </w:r>
    </w:p>
    <w:p>
      <w:pPr>
        <w:pStyle w:val="Heading1"/>
      </w:pPr>
      <w:bookmarkStart w:id="4" w:name="_Toc4"/>
      <w:r>
        <w:t>ЗАКЛЮЧЕНИЕ</w:t>
      </w:r>
      <w:bookmarkEnd w:id="4"/>
    </w:p>
    <w:p>
      <w:pPr>
        <w:pStyle w:val="paperBody"/>
      </w:pPr>
      <w:r>
        <w:rPr/>
        <w:t xml:space="preserve">В результате выполненного исследования были последовательно решены поставленные задачи и подтверждена необходимость комплексного подхода к анализу цифрового рубля. Первая задача — раскрыть теоретические основы CBDC и обобщить зарубежный опыт — выполнена посредством систематизации определений, функциональных моделей и классификаций, а также сопоставления практик стран, внедривших либо тестирующих CBDC. Это позволило выделить ключевые мотивы эмиссии центральными банками (повышение эффективности платежей, финансовая инклюзия, контроль за денежной массой) и сопутствующие риски (конкуренция с банковскими депозитами, приватность, операционные вызовы), которые служат отправной точкой для последующего проектирования цифрового рубля.</w:t>
      </w:r>
    </w:p>
    <w:p>
      <w:pPr>
        <w:pStyle w:val="paperBody"/>
      </w:pPr>
      <w:r>
        <w:rPr/>
        <w:t xml:space="preserve">Вторая задача — описать техническую, институциональную и правовую архитектуру цифрового рубля — решена через развернутое рассмотрение альтернативных моделей хранения и передачи средств, а также их институциональных следствий. Показано, что выбор между счетной и токеновой моделями определяет требования к реестрам, идентификации, управлению доступом и разграничению ответственности между ЦБ, коммерческими банками и платежными провайдерами. Правовые компоненты формируют основу статуса цифрового рубля как законного средства платежа и задают рамки для защиты прав пользователей и обеспечения сопутствующего регулирования.</w:t>
      </w:r>
    </w:p>
    <w:p>
      <w:pPr>
        <w:pStyle w:val="paperBody"/>
      </w:pPr>
      <w:r>
        <w:rPr/>
        <w:t xml:space="preserve">Третья задача — сценарный анализ влияния на повседневные расчёты домохозяйств, бизнеса и наличных операций — выполнена посредством оценки изменений в скорости, стоимости и организационных процессах платежей. Выявлены потенциальные выигрыши в скорости и автоматизации транзакций, а также возможные эффекты для наличного оборота и роли коммерческих посредников. На основе сценариев сформулированы практические риски и критерии, требующие внимания при введении цифрового рубля. Заключение сводит эти результаты в основу рекомендаций по последовательной реализации и мониторингу внедрения.</w:t>
      </w:r>
    </w:p>
    <w:p>
      <w:r>
        <w:br w:type="page"/>
      </w:r>
    </w:p>
    <w:p>
      <w:pPr>
        <w:pStyle w:val="Heading1"/>
      </w:pPr>
      <w:bookmarkStart w:id="5" w:name="_Toc5"/>
      <w:r>
        <w:t>СПИСОК ИСПОЛЬЗОВАННЫХ ИСТОЧНИКОВ</w:t>
      </w:r>
      <w:bookmarkEnd w:id="5"/>
    </w:p>
    <w:p>
      <w:pPr>
        <w:pStyle w:val="paperSource"/>
      </w:pPr>
      <w:r>
        <w:rPr/>
        <w:t xml:space="preserve">1. Евгеньевна, Я. Е. Цифровой рубль как национальная цифровая валюта: проблемы и перспективы развития в контексте мирового опыта / Евгеньевна Я. Е. // Law Journal of the Higher School of Economics. — 2024. — № 4. — С. 254-277. — URL: https://doi.org/10.17323/2072-8166.2024.4.254.277 (дата обращения: 02.09.2026).</w:t>
      </w:r>
    </w:p>
    <w:p>
      <w:pPr>
        <w:pStyle w:val="paperSource"/>
      </w:pPr>
      <w:r>
        <w:rPr/>
        <w:t xml:space="preserve">2. Миннигулов, Д.Р. Цифровой рубль как инструмент снижения теневой экономики / Миннигулов Д.Р., Демьянова О.В. // Экономический вестник. — 2026. — № 3. — С. 120-127. — URL: https://doi.org/10.66621/2949-4648-2026-5-3-120-127 (дата обращения: 02.09.2026).</w:t>
      </w:r>
    </w:p>
    <w:p>
      <w:pPr>
        <w:pStyle w:val="paperSource"/>
      </w:pPr>
      <w:r>
        <w:rPr/>
        <w:t xml:space="preserve">3. Lapaev, D. N. Инновационные преобразования банковской системы России под влиянием цифровых технологий / Lapaev D. N., Рамазанов С. С. // Economic security. — 2024. — № 6. — С. 1391-1410. — URL: https://doi.org/10.18334/ecsec.7.6.121244 (дата обращения: 02.09.2026).</w:t>
      </w:r>
    </w:p>
    <w:p>
      <w:pPr>
        <w:pStyle w:val="paperSource"/>
      </w:pPr>
      <w:r>
        <w:rPr/>
        <w:t xml:space="preserve">4. Rodik, P. A. Цифровой рубль в правовом поле России: анализ нормативного регулирования и механизмов обращения / Rodik P. A., Stafeeva T. A. // Youth science reporter. — 2026. — № 4(51). — С. 15. — URL: https://doi.org/10.46845/2541-8254-2025-4(51)-15-15 (дата обращения: 02.09.2026).</w:t>
      </w:r>
    </w:p>
    <w:p>
      <w:pPr>
        <w:pStyle w:val="paperSource"/>
      </w:pPr>
      <w:r>
        <w:rPr/>
        <w:t xml:space="preserve">5. Botasheva, L.S. The digital ruble: advantages and disadvantages / Botasheva L.S., Chomaev R.Kh. // Фундаментальные исследования (Fundamental Research). — 2025. — № 12 2025. — С. 131-136. — URL: https://doi.org/10.17513/fr.43963 (дата обращения: 02.09.2026).</w:t>
      </w:r>
    </w:p>
    <w:p>
      <w:pPr>
        <w:pStyle w:val="paperSource"/>
      </w:pPr>
      <w:r>
        <w:rPr/>
        <w:t xml:space="preserve">6. Цифровой рубль и расчёты малого и среднего предпринимательства в России: смарт-контракты, эквайринг и риски массового внедрения. // Экономические науки. — 2026. — № 257. — URL: https://doi.org/10.14451/1.257.392 (дата обращения: 02.09.2026).</w:t>
      </w:r>
    </w:p>
    <w:p>
      <w:pPr>
        <w:pStyle w:val="paperSource"/>
      </w:pPr>
      <w:r>
        <w:rPr/>
        <w:t xml:space="preserve">7. Никитчук, С.С. Методика управления корпоративными данными для применения искусственного интеллекта в торгово-промышленном предприятии / Никитчук С.С. // Cifrovaâ èkonomika.. — 2025. — № 4(34). — С. 71-80. — URL: https://doi.org/10.34706/de-2025-04-08 (дата обращения: 02.09.2026).</w:t>
      </w:r>
    </w:p>
    <w:p>
      <w:pPr>
        <w:pStyle w:val="paperSource"/>
      </w:pPr>
      <w:r>
        <w:rPr/>
        <w:t xml:space="preserve">8. Семеко, Г. В. Integration of the payment space of the Eurasian economic union: the potential of sovereign digital currencies / Семеко Г. В. // Russia and the Contemporary World. — 2023. — № 3. — С. 42-57. — URL: https://doi.org/10.31249/rsm/2023.03.03 (дата обращения: 02.09.2026).</w:t>
      </w:r>
    </w:p>
    <w:p>
      <w:pPr>
        <w:pStyle w:val="paperSource"/>
      </w:pPr>
      <w:r>
        <w:rPr/>
        <w:t xml:space="preserve">9. Chepkov, A. A. Analyzing payment and settlement relations between Russia and China within the BRICS framework and the new reserve currency implementation / Chepkov A. A. // Vestnik Universiteta. — 2026. — № 11. — С. 204-219. — URL: https://doi.org/10.26425/1816-4277-2025-11-204-219 (дата обращения: 02.09.2026).</w:t>
      </w:r>
    </w:p>
    <w:p>
      <w:pPr>
        <w:pStyle w:val="paperSource"/>
      </w:pPr>
      <w:r>
        <w:rPr/>
        <w:t xml:space="preserve">10. Гурдус, А.О. Некоторые аспекты геополитики в киберпространстве / Гурдус А.О. [и др.]. // Cifrovaâ èkonomika.. — 2023. — № 4(25). — URL: https://doi.org/10.34706/de-2023-04-06 (дата обращения: 02.09.2026).</w:t>
      </w:r>
    </w:p>
    <w:p>
      <w:pPr>
        <w:pStyle w:val="paperSource"/>
      </w:pPr>
      <w:r>
        <w:rPr/>
        <w:t xml:space="preserve">11. Якунин, С. В. Причины введения национальной цифровой валюты в России / Якунин С. В., Якунина А. В., Семернина Ю. В. // Бизнес, образование, право. — 2022. — № 2(59). — URL: https://doi.org/10.25683/volbi.2022.59.239 (дата обращения: 02.09.2026).</w:t>
      </w:r>
    </w:p>
    <w:p>
      <w:pPr>
        <w:pStyle w:val="paperSource"/>
      </w:pPr>
      <w:r>
        <w:rPr/>
        <w:t xml:space="preserve">12. Дзензелюк, Н.С. Цифровой двойник как инструмент управления запасами / Дзензелюк Н.С., Баев Л.А. — 2024. — URL: https://doi.org/10.34660/inf.2019.8.42522 (дата обращения: 02.09.2026).</w:t>
      </w:r>
    </w:p>
    <w:p>
      <w:pPr>
        <w:pStyle w:val="paperSource"/>
      </w:pPr>
      <w:r>
        <w:rPr/>
        <w:t xml:space="preserve">13. Perseva, S.Yu. Prospects for developing brics partnerships in digital payments / Perseva S.Yu., Grigorov V.V. // Bulletin of the Altai Academy of Economics and law. — 2025. — № 8 2025. — С. 201-206. — URL: https://doi.org/10.17513/vaael.4291 (дата обращения: 02.09.2026).</w:t>
      </w:r>
    </w:p>
    <w:p>
      <w:pPr>
        <w:pStyle w:val="paperSource"/>
      </w:pPr>
      <w:r>
        <w:rPr/>
        <w:t xml:space="preserve">14. Lekhman, E. Prospects and Threats of Digital Currencies’ Introduction / Lekhman E., Krotova M., Troshchak D. // Regionalnaya ekonomika Yug Rossii. — 2024. — № 2. — С. 27-40. — URL: https://doi.org/10.15688/re.volsu.2024.2.3 (дата обращения: 02.09.2026).</w:t>
      </w:r>
    </w:p>
    <w:p>
      <w:pPr>
        <w:pStyle w:val="paperSource"/>
      </w:pPr>
      <w:r>
        <w:rPr/>
        <w:t xml:space="preserve">15. Mizyureva, V. V. Digital ruble: features of application, accounting and taxation / Mizyureva V. V., Sinelnikova O., Boyko O. V. // Russian Journal of Management. — 2023. — № 3. — С. 271-279. — URL: https://doi.org/10.29039/2409-6024-2023-11-3-271-279 (дата обращения: 02.09.2026).</w:t>
      </w:r>
    </w:p>
    <w:p>
      <w:pPr>
        <w:pStyle w:val="paperSource"/>
      </w:pPr>
      <w:r>
        <w:rPr/>
        <w:t xml:space="preserve">16. Коньшакова, С.А. Налоговый контроль бизнеса в условиях цифровой экономики / Коньшакова С.А. — 2024. — URL: https://doi.org/10.34660/inf.2019.7.41314 (дата обращения: 02.09.2026).</w:t>
      </w:r>
    </w:p>
    <w:sectPr>
      <w:footerReference w:type="default" r:id="rId7"/>
      <w:type w:val="nextPage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>
    <w:pPr>
      <w:pStyle w:val="paperCenter"/>
    </w:pPr>
    <w:r>
      <w:rPr>
        <w:color w:val="9AA0AC"/>
        <w:sz w:val="16"/>
        <w:szCs w:val="16"/>
      </w:rPr>
      <w:t xml:space="preserve">Пример работы сервиса Подсказай · podskazai.ru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8"/>
        <w:szCs w:val="28"/>
        <w:lang w:val="ru-RU"/>
      </w:rPr>
    </w:rPrDefault>
  </w:docDefaults>
  <w:style w:type="paragraph" w:default="1" w:styleId="Normal">
    <w:name w:val="Normal"/>
    <w:pPr>
      <w:spacing w:before="0" w:after="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aperBody">
    <w:name w:val="paperBody"/>
    <w:basedOn w:val="Normal"/>
    <w:pPr>
      <w:jc w:val="both"/>
      <w:ind w:left="0" w:right="0" w:firstLine="708.6614173228347" w:hanging="0"/>
      <w:spacing w:before="0" w:after="0" w:line="360" w:lineRule="auto"/>
    </w:pPr>
  </w:style>
  <w:style w:type="paragraph" w:customStyle="1" w:styleId="paperStructural">
    <w:name w:val="paperStructural"/>
    <w:basedOn w:val="Normal"/>
    <w:pPr>
      <w:keepNext w:val="1"/>
      <w:jc w:val="center"/>
      <w:spacing w:after="240" w:line="360" w:lineRule="auto"/>
    </w:pPr>
  </w:style>
  <w:style w:type="paragraph" w:customStyle="1" w:styleId="paperCenter">
    <w:name w:val="paperCenter"/>
    <w:basedOn w:val="Normal"/>
    <w:pPr>
      <w:jc w:val="center"/>
      <w:spacing w:line="360" w:lineRule="auto"/>
    </w:pPr>
  </w:style>
  <w:style w:type="paragraph" w:customStyle="1" w:styleId="paperRight">
    <w:name w:val="paperRight"/>
    <w:basedOn w:val="Normal"/>
    <w:pPr>
      <w:jc w:val="end"/>
      <w:spacing w:line="360" w:lineRule="auto"/>
    </w:pPr>
  </w:style>
  <w:style w:type="paragraph" w:customStyle="1" w:styleId="paperSource">
    <w:name w:val="paperSource"/>
    <w:basedOn w:val="Normal"/>
    <w:pPr>
      <w:jc w:val="both"/>
      <w:ind w:left="453.54330708661416" w:right="0" w:firstLine="0" w:hanging="453.54330708661416"/>
      <w:spacing w:after="0" w:line="360" w:lineRule="auto"/>
    </w:pPr>
  </w:style>
  <w:style w:type="paragraph" w:styleId="Heading1">
    <w:link w:val="Heading1Char"/>
    <w:name w:val="heading 1"/>
    <w:basedOn w:val="Normal"/>
    <w:pPr>
      <w:keepNext w:val="1"/>
      <w:jc w:val="center"/>
      <w:spacing w:after="240" w:line="360" w:lineRule="auto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keepNext w:val="1"/>
      <w:jc w:val="both"/>
      <w:ind w:left="0" w:right="0" w:firstLine="708.6614173228347" w:hanging="0"/>
      <w:spacing w:before="240" w:after="240" w:line="360" w:lineRule="auto"/>
    </w:pPr>
    <w:rPr>
      <w:rFonts w:ascii="Times New Roman" w:hAnsi="Times New Roman" w:eastAsia="Times New Roman" w:cs="Times New Roman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Подсказай</dc:creator>
  <dc:title>Цифровой рубль: устройство и последствия для повседневных расчётов</dc:title>
  <dc:description>Пример работы сервиса Подсказай · podskazai.ru</dc:description>
  <dc:subject/>
  <cp:keywords/>
  <cp:category/>
  <cp:lastModifiedBy/>
  <dcterms:created xsi:type="dcterms:W3CDTF">2026-09-02T18:51:40+00:00</dcterms:created>
  <dcterms:modified xsi:type="dcterms:W3CDTF">2026-09-02T18:51:40+00:00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